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23" w:rsidRPr="007D6A23" w:rsidRDefault="007D6A23" w:rsidP="007D6A23">
      <w:pPr>
        <w:spacing w:after="63" w:line="216" w:lineRule="exact"/>
        <w:ind w:firstLine="288"/>
        <w:jc w:val="center"/>
        <w:rPr>
          <w:rFonts w:ascii="Arial" w:eastAsia="Times New Roman" w:hAnsi="Arial" w:cs="Arial"/>
          <w:b/>
          <w:sz w:val="20"/>
          <w:szCs w:val="20"/>
          <w:lang w:eastAsia="es-ES"/>
        </w:rPr>
      </w:pPr>
      <w:r w:rsidRPr="007D6A23">
        <w:rPr>
          <w:rFonts w:ascii="Arial" w:eastAsia="Times New Roman" w:hAnsi="Arial" w:cs="Arial"/>
          <w:b/>
          <w:sz w:val="20"/>
          <w:szCs w:val="20"/>
          <w:lang w:eastAsia="es-ES"/>
        </w:rPr>
        <w:t>ESTATUTOS PARTIDO DEL TRABAJO</w:t>
      </w:r>
    </w:p>
    <w:p w:rsidR="007D6A23" w:rsidRPr="007D6A23" w:rsidRDefault="007D6A23" w:rsidP="007D6A23">
      <w:pPr>
        <w:spacing w:after="63" w:line="216" w:lineRule="exact"/>
        <w:ind w:firstLine="288"/>
        <w:jc w:val="both"/>
        <w:rPr>
          <w:rFonts w:ascii="Arial" w:eastAsia="Times New Roman" w:hAnsi="Arial" w:cs="Arial"/>
          <w:b/>
          <w:sz w:val="20"/>
          <w:szCs w:val="20"/>
          <w:lang w:eastAsia="es-ES"/>
        </w:rPr>
      </w:pPr>
    </w:p>
    <w:p w:rsidR="007D6A23" w:rsidRPr="007D6A23" w:rsidRDefault="007D6A23" w:rsidP="007D6A23">
      <w:pPr>
        <w:spacing w:after="60" w:line="216" w:lineRule="exact"/>
        <w:ind w:firstLine="288"/>
        <w:jc w:val="both"/>
        <w:rPr>
          <w:rFonts w:ascii="Arial" w:eastAsia="Times New Roman" w:hAnsi="Arial" w:cs="Arial"/>
          <w:b/>
          <w:sz w:val="20"/>
          <w:szCs w:val="20"/>
          <w:lang w:eastAsia="es-ES"/>
        </w:rPr>
      </w:pPr>
      <w:r w:rsidRPr="007D6A23">
        <w:rPr>
          <w:rFonts w:ascii="Arial" w:eastAsia="Times New Roman" w:hAnsi="Arial" w:cs="Arial"/>
          <w:b/>
          <w:sz w:val="20"/>
          <w:szCs w:val="20"/>
          <w:lang w:eastAsia="es-ES"/>
        </w:rPr>
        <w:t>CAPÍTULO XII</w:t>
      </w:r>
    </w:p>
    <w:p w:rsidR="007D6A23" w:rsidRPr="007D6A23" w:rsidRDefault="007D6A23" w:rsidP="007D6A23">
      <w:pPr>
        <w:spacing w:after="60" w:line="216" w:lineRule="exact"/>
        <w:ind w:firstLine="288"/>
        <w:jc w:val="both"/>
        <w:rPr>
          <w:rFonts w:ascii="Arial" w:eastAsia="Times New Roman" w:hAnsi="Arial" w:cs="Arial"/>
          <w:b/>
          <w:sz w:val="20"/>
          <w:szCs w:val="20"/>
          <w:lang w:eastAsia="es-ES"/>
        </w:rPr>
      </w:pPr>
      <w:r w:rsidRPr="007D6A23">
        <w:rPr>
          <w:rFonts w:ascii="Arial" w:eastAsia="Times New Roman" w:hAnsi="Arial" w:cs="Arial"/>
          <w:b/>
          <w:sz w:val="20"/>
          <w:szCs w:val="20"/>
          <w:lang w:eastAsia="es-ES"/>
        </w:rPr>
        <w:t>DE LOS COMISIONADOS POLÍTICOS NACIONALES.</w:t>
      </w:r>
    </w:p>
    <w:p w:rsidR="007D6A23" w:rsidRPr="007D6A23" w:rsidRDefault="007D6A23" w:rsidP="007D6A23">
      <w:pPr>
        <w:spacing w:after="60" w:line="216" w:lineRule="exact"/>
        <w:ind w:firstLine="288"/>
        <w:jc w:val="both"/>
        <w:rPr>
          <w:rFonts w:ascii="Arial" w:eastAsia="Times New Roman" w:hAnsi="Arial" w:cs="Arial"/>
          <w:b/>
          <w:sz w:val="20"/>
          <w:szCs w:val="20"/>
          <w:lang w:eastAsia="es-ES"/>
        </w:rPr>
      </w:pPr>
    </w:p>
    <w:p w:rsidR="007D6A23" w:rsidRPr="007D6A23" w:rsidRDefault="007D6A23" w:rsidP="007D6A23">
      <w:pPr>
        <w:spacing w:after="60" w:line="216" w:lineRule="exact"/>
        <w:ind w:firstLine="288"/>
        <w:jc w:val="both"/>
        <w:rPr>
          <w:rFonts w:ascii="Arial" w:eastAsia="Times New Roman" w:hAnsi="Arial" w:cs="Arial"/>
          <w:sz w:val="20"/>
          <w:szCs w:val="20"/>
          <w:lang w:eastAsia="es-ES"/>
        </w:rPr>
      </w:pPr>
      <w:r w:rsidRPr="007D6A23">
        <w:rPr>
          <w:rFonts w:ascii="Arial" w:eastAsia="Times New Roman" w:hAnsi="Arial" w:cs="Arial"/>
          <w:b/>
          <w:sz w:val="20"/>
          <w:szCs w:val="20"/>
          <w:lang w:eastAsia="es-ES"/>
        </w:rPr>
        <w:t>Artículo 47.</w:t>
      </w:r>
      <w:r w:rsidRPr="007D6A23">
        <w:rPr>
          <w:rFonts w:ascii="Arial" w:eastAsia="Times New Roman" w:hAnsi="Arial" w:cs="Arial"/>
          <w:sz w:val="20"/>
          <w:szCs w:val="20"/>
          <w:lang w:eastAsia="es-ES"/>
        </w:rPr>
        <w:t xml:space="preserve"> Los Comisionados Políticos Nacionales son representantes de la Comisión Ejecutiva Nacional para las diferentes tareas que se les asigne. En consecuencia, ejercerán las atribuciones que en su favor se establecen en los artículos 39 inciso k) y 40 párrafo cuarto; de los presentes Estatutos. Sus actividades estarán subordinadas a la Comisión Coordinadora Nacional, la Comisión Ejecutiva Nacional y el Consejo Político Nacional.</w:t>
      </w:r>
    </w:p>
    <w:p w:rsidR="007D6A23" w:rsidRPr="007D6A23" w:rsidRDefault="007D6A23" w:rsidP="007D6A23">
      <w:pPr>
        <w:spacing w:after="60" w:line="216" w:lineRule="exact"/>
        <w:ind w:firstLine="288"/>
        <w:jc w:val="both"/>
        <w:rPr>
          <w:rFonts w:ascii="Arial" w:eastAsia="Times New Roman" w:hAnsi="Arial" w:cs="Arial"/>
          <w:sz w:val="20"/>
          <w:szCs w:val="20"/>
          <w:lang w:eastAsia="es-ES"/>
        </w:rPr>
      </w:pPr>
      <w:r w:rsidRPr="007D6A23">
        <w:rPr>
          <w:rFonts w:ascii="Arial" w:eastAsia="Times New Roman" w:hAnsi="Arial" w:cs="Arial"/>
          <w:sz w:val="20"/>
          <w:szCs w:val="20"/>
          <w:lang w:eastAsia="es-ES"/>
        </w:rPr>
        <w:t>Para el debido cumplimiento de sus funciones establecidas en el artículo 39 inciso k), el Comisionado Político Nacional deberá proponer dos tesoreros a la Comisión Ejecutiva Nacional quien valorará y en su caso aprobará la propuesta cuando a juicio la propia Comisión reúnan el perfil necesario.</w:t>
      </w:r>
    </w:p>
    <w:p w:rsidR="007D6A23" w:rsidRPr="007D6A23" w:rsidRDefault="007D6A23" w:rsidP="007D6A23">
      <w:pPr>
        <w:spacing w:after="60" w:line="216" w:lineRule="exact"/>
        <w:ind w:firstLine="288"/>
        <w:jc w:val="both"/>
        <w:rPr>
          <w:rFonts w:ascii="Arial" w:eastAsia="Times New Roman" w:hAnsi="Arial" w:cs="Arial"/>
          <w:sz w:val="20"/>
          <w:szCs w:val="20"/>
          <w:lang w:eastAsia="es-ES"/>
        </w:rPr>
      </w:pPr>
      <w:r w:rsidRPr="007D6A23">
        <w:rPr>
          <w:rFonts w:ascii="Arial" w:eastAsia="Times New Roman" w:hAnsi="Arial" w:cs="Arial"/>
          <w:sz w:val="20"/>
          <w:szCs w:val="20"/>
          <w:lang w:eastAsia="es-ES"/>
        </w:rPr>
        <w:t>El Comisionado Político Nacional deberá informar por escrito por lo menos cada cuatro meses a la Comisión Ejecutiva Nacional y a la Comisión Coordinadora Nacional sobre su trabajo realizado.</w:t>
      </w:r>
    </w:p>
    <w:p w:rsidR="007D6A23" w:rsidRPr="007D6A23" w:rsidRDefault="007D6A23" w:rsidP="007D6A23">
      <w:pPr>
        <w:spacing w:after="60" w:line="216" w:lineRule="exact"/>
        <w:ind w:firstLine="288"/>
        <w:jc w:val="both"/>
        <w:rPr>
          <w:rFonts w:ascii="Arial" w:eastAsia="Times New Roman" w:hAnsi="Arial" w:cs="Arial"/>
          <w:sz w:val="20"/>
          <w:szCs w:val="20"/>
          <w:lang w:eastAsia="es-ES"/>
        </w:rPr>
      </w:pPr>
      <w:r w:rsidRPr="007D6A23">
        <w:rPr>
          <w:rFonts w:ascii="Arial" w:eastAsia="Times New Roman" w:hAnsi="Arial" w:cs="Arial"/>
          <w:sz w:val="20"/>
          <w:szCs w:val="20"/>
          <w:lang w:eastAsia="es-ES"/>
        </w:rPr>
        <w:t>No se deberá nombrar ni podrá ejercer una misma persona el cargo de Comisionado Político Nacional en dos o más entidades Federativas o del Distrito Federal, simultáneamente.</w:t>
      </w:r>
    </w:p>
    <w:p w:rsidR="007D6A23" w:rsidRPr="007D6A23" w:rsidRDefault="007D6A23" w:rsidP="007D6A23">
      <w:pPr>
        <w:spacing w:after="60" w:line="216" w:lineRule="exact"/>
        <w:ind w:firstLine="288"/>
        <w:jc w:val="both"/>
        <w:rPr>
          <w:rFonts w:ascii="Arial" w:eastAsia="Times New Roman" w:hAnsi="Arial" w:cs="Arial"/>
          <w:sz w:val="20"/>
          <w:szCs w:val="20"/>
          <w:lang w:eastAsia="es-ES"/>
        </w:rPr>
      </w:pPr>
      <w:r w:rsidRPr="007D6A23">
        <w:rPr>
          <w:rFonts w:ascii="Arial" w:eastAsia="Times New Roman" w:hAnsi="Arial" w:cs="Arial"/>
          <w:sz w:val="20"/>
          <w:szCs w:val="20"/>
          <w:lang w:eastAsia="es-ES"/>
        </w:rPr>
        <w:t>La Comisión Ejecutiva Nacional evaluará el trabajo desempeñado por el Comisionado Político Nacional en la Entidad o en el Distrito Federal y con base en los resultados de esa evaluación podrá ratificarlo o dar por terminado su encargo, en cualquier momento. El nombramiento de los Comisionados Políticos Nacionales será por un periodo hasta de un año, pudiendo ser ratificado, removido o sustituido cuando así lo considere conveniente, por la Comisión Ejecutiva Nacional.</w:t>
      </w:r>
    </w:p>
    <w:p w:rsidR="007D6A23" w:rsidRPr="007D6A23" w:rsidRDefault="007D6A23" w:rsidP="007D6A23">
      <w:pPr>
        <w:spacing w:after="60" w:line="216" w:lineRule="exact"/>
        <w:ind w:firstLine="288"/>
        <w:jc w:val="both"/>
        <w:rPr>
          <w:rFonts w:ascii="Arial" w:eastAsia="Times New Roman" w:hAnsi="Arial" w:cs="Arial"/>
          <w:sz w:val="20"/>
          <w:szCs w:val="20"/>
          <w:lang w:eastAsia="es-ES"/>
        </w:rPr>
      </w:pPr>
      <w:r w:rsidRPr="007D6A23">
        <w:rPr>
          <w:rFonts w:ascii="Arial" w:eastAsia="Times New Roman" w:hAnsi="Arial" w:cs="Arial"/>
          <w:sz w:val="20"/>
          <w:szCs w:val="20"/>
          <w:lang w:eastAsia="es-ES"/>
        </w:rPr>
        <w:t xml:space="preserve">En todos los procesos electorales que se realicen en las entidades de la República y el Distrito Federal, para renovar Gobernador, Jefe de Gobierno y Delegados del Distrito Federal, Presidentes Municipales, </w:t>
      </w:r>
      <w:r w:rsidRPr="007D6A23">
        <w:rPr>
          <w:rFonts w:ascii="Arial" w:eastAsia="Times New Roman" w:hAnsi="Arial" w:cs="Arial"/>
          <w:b/>
          <w:sz w:val="20"/>
          <w:szCs w:val="20"/>
          <w:lang w:eastAsia="es-ES"/>
        </w:rPr>
        <w:t>Síndicos</w:t>
      </w:r>
      <w:r w:rsidRPr="007D6A23">
        <w:rPr>
          <w:rFonts w:ascii="Arial" w:eastAsia="Times New Roman" w:hAnsi="Arial" w:cs="Arial"/>
          <w:sz w:val="20"/>
          <w:szCs w:val="20"/>
          <w:lang w:eastAsia="es-ES"/>
        </w:rPr>
        <w:t>, Regidores y Diputados Locales y del Distrito Federal por ambos principios y en los procesos electorales federales, con la debida anticipación, la Comisión Ejecutiva Nacional nombrará a los Comisionados Políticos Nacionales de Asuntos Electorales para coadyuvar, supervisar, orientar e implementar las directrices y mandatos de la propia Comisión Ejecutiva Nacional y de la Comisión Coordinadora Nacional para el buen desempeño de las precampañas, de la búsqueda, elección y postulación de candidatos y de las campañas electorales y comicios respectivos. También coadyuvará el Comisionado de Asuntos Electorales en buscar acuerdos para establecer coaliciones</w:t>
      </w:r>
      <w:r w:rsidRPr="007D6A23">
        <w:rPr>
          <w:rFonts w:ascii="Arial" w:eastAsia="Times New Roman" w:hAnsi="Arial" w:cs="Arial"/>
          <w:b/>
          <w:sz w:val="20"/>
          <w:szCs w:val="20"/>
          <w:lang w:eastAsia="es-ES"/>
        </w:rPr>
        <w:t xml:space="preserve">, </w:t>
      </w:r>
      <w:r w:rsidRPr="007D6A23">
        <w:rPr>
          <w:rFonts w:ascii="Arial" w:eastAsia="Times New Roman" w:hAnsi="Arial" w:cs="Arial"/>
          <w:sz w:val="20"/>
          <w:szCs w:val="20"/>
          <w:lang w:eastAsia="es-ES"/>
        </w:rPr>
        <w:t>totales</w:t>
      </w:r>
      <w:r w:rsidRPr="007D6A23">
        <w:rPr>
          <w:rFonts w:ascii="Arial" w:eastAsia="Times New Roman" w:hAnsi="Arial" w:cs="Arial"/>
          <w:b/>
          <w:sz w:val="20"/>
          <w:szCs w:val="20"/>
          <w:lang w:eastAsia="es-ES"/>
        </w:rPr>
        <w:t xml:space="preserve">, </w:t>
      </w:r>
      <w:r w:rsidRPr="007D6A23">
        <w:rPr>
          <w:rFonts w:ascii="Arial" w:eastAsia="Times New Roman" w:hAnsi="Arial" w:cs="Arial"/>
          <w:sz w:val="20"/>
          <w:szCs w:val="20"/>
          <w:lang w:eastAsia="es-ES"/>
        </w:rPr>
        <w:t>parciales o</w:t>
      </w:r>
      <w:r w:rsidRPr="007D6A23">
        <w:rPr>
          <w:rFonts w:ascii="Arial" w:eastAsia="Times New Roman" w:hAnsi="Arial" w:cs="Arial"/>
          <w:b/>
          <w:sz w:val="20"/>
          <w:szCs w:val="20"/>
          <w:lang w:eastAsia="es-ES"/>
        </w:rPr>
        <w:t xml:space="preserve"> flexibles</w:t>
      </w:r>
      <w:r w:rsidRPr="007D6A23">
        <w:rPr>
          <w:rFonts w:ascii="Arial" w:eastAsia="Times New Roman" w:hAnsi="Arial" w:cs="Arial"/>
          <w:sz w:val="20"/>
          <w:szCs w:val="20"/>
          <w:lang w:eastAsia="es-ES"/>
        </w:rPr>
        <w:t xml:space="preserve"> o candidaturas comunes, con otros partidos políticos cuando a juicio de la Comisión Ejecutiva Nacional así se considere conveniente. En cada Entidad Federativa o el Distrito Federal, donde sean nombrados Comisionados Políticos Nacionales de Asuntos Electorales, las instancias partidarias seguirán funcionando y cumplirán sus actividades de manera ordinaria.</w:t>
      </w:r>
    </w:p>
    <w:p w:rsidR="007D6A23" w:rsidRPr="007D6A23" w:rsidRDefault="007D6A23" w:rsidP="007D6A23">
      <w:pPr>
        <w:spacing w:after="60" w:line="216" w:lineRule="exact"/>
        <w:ind w:firstLine="288"/>
        <w:jc w:val="both"/>
        <w:rPr>
          <w:rFonts w:ascii="Arial" w:eastAsia="Times New Roman" w:hAnsi="Arial" w:cs="Arial"/>
          <w:b/>
          <w:sz w:val="20"/>
          <w:szCs w:val="20"/>
          <w:lang w:eastAsia="es-ES"/>
        </w:rPr>
      </w:pPr>
      <w:r w:rsidRPr="007D6A23">
        <w:rPr>
          <w:rFonts w:ascii="Arial" w:eastAsia="Times New Roman" w:hAnsi="Arial" w:cs="Arial"/>
          <w:sz w:val="20"/>
          <w:szCs w:val="20"/>
          <w:lang w:eastAsia="es-ES"/>
        </w:rPr>
        <w:t>Los Comisionados Políticos Nacionales de asuntos electorales nombrados por la Comisión Ejecutiva Nacional en las distintas entidades del país, mancomunarán su firma con un representante de la Comisión de Finanzas y Patrimonio de la entidad de que se trate, con la finalidad de ejercer de manera colegiada los recursos financieros estatales y nacionales que se designen para ese propósito.</w:t>
      </w:r>
    </w:p>
    <w:p w:rsidR="007D6A23" w:rsidRPr="007D6A23" w:rsidRDefault="007D6A23" w:rsidP="007D6A23">
      <w:pPr>
        <w:spacing w:after="60" w:line="216" w:lineRule="exact"/>
        <w:ind w:firstLine="288"/>
        <w:jc w:val="both"/>
        <w:rPr>
          <w:rFonts w:ascii="Arial" w:eastAsia="Times New Roman" w:hAnsi="Arial" w:cs="Arial"/>
          <w:b/>
          <w:sz w:val="20"/>
          <w:szCs w:val="20"/>
          <w:lang w:eastAsia="es-ES"/>
        </w:rPr>
      </w:pPr>
      <w:r w:rsidRPr="007D6A23">
        <w:rPr>
          <w:rFonts w:ascii="Arial" w:eastAsia="Times New Roman" w:hAnsi="Arial" w:cs="Arial"/>
          <w:b/>
          <w:sz w:val="20"/>
          <w:szCs w:val="20"/>
          <w:lang w:eastAsia="es-ES"/>
        </w:rPr>
        <w:t xml:space="preserve">Artículo 47 Bis. Tratándose de la representación financiera y patrimonial los integrantes de los Órganos de Dirección y de otros Órganos e Instancias Partidarias, a nivel Nacional, Estatal, del Distrito Federal, Municipal y Delegacional, incluyendo a los Comisionados </w:t>
      </w:r>
      <w:r w:rsidRPr="007D6A23">
        <w:rPr>
          <w:rFonts w:ascii="Arial" w:eastAsia="Times New Roman" w:hAnsi="Arial" w:cs="Arial"/>
          <w:b/>
          <w:sz w:val="20"/>
          <w:szCs w:val="20"/>
          <w:lang w:eastAsia="es-ES"/>
        </w:rPr>
        <w:lastRenderedPageBreak/>
        <w:t>Políticos Nacionales y los Comisionados Políticos Nacionales de Asuntos Electorales tendrán las siguientes limitaciones:</w:t>
      </w:r>
    </w:p>
    <w:p w:rsidR="007D6A23" w:rsidRPr="007D6A23" w:rsidRDefault="007D6A23" w:rsidP="007D6A23">
      <w:pPr>
        <w:tabs>
          <w:tab w:val="left" w:pos="720"/>
        </w:tabs>
        <w:spacing w:after="60" w:line="216" w:lineRule="exact"/>
        <w:ind w:left="720" w:hanging="432"/>
        <w:jc w:val="both"/>
        <w:rPr>
          <w:rFonts w:ascii="Arial" w:eastAsia="Times New Roman" w:hAnsi="Arial" w:cs="Arial"/>
          <w:b/>
          <w:sz w:val="20"/>
          <w:szCs w:val="20"/>
          <w:lang w:eastAsia="es-ES"/>
        </w:rPr>
      </w:pPr>
      <w:r w:rsidRPr="007D6A23">
        <w:rPr>
          <w:rFonts w:ascii="Arial" w:eastAsia="Times New Roman" w:hAnsi="Arial" w:cs="Arial"/>
          <w:sz w:val="20"/>
          <w:szCs w:val="20"/>
          <w:lang w:eastAsia="es-ES"/>
        </w:rPr>
        <w:t>a)</w:t>
      </w:r>
      <w:r w:rsidRPr="007D6A23">
        <w:rPr>
          <w:rFonts w:ascii="Arial" w:eastAsia="Times New Roman" w:hAnsi="Arial" w:cs="Arial"/>
          <w:b/>
          <w:sz w:val="20"/>
          <w:szCs w:val="20"/>
          <w:lang w:eastAsia="es-ES"/>
        </w:rPr>
        <w:tab/>
        <w:t>No podrán certificar, otorgar, girar, emitir, endosar o por cualquier otro concepto suscribir un título de crédito a nombre del Partido sin previa autorización de la Comisión Coordinadora en términos del artículo 44, y quien lo hiciere se obliga personalmente como si hubiera obrado en nombre propio, salvo que se trate de la expedición de cheques para ejercer las prerrogativas destinados a alcanzar los fines de nuestro instituto político.</w:t>
      </w:r>
    </w:p>
    <w:p w:rsidR="007D6A23" w:rsidRPr="007D6A23" w:rsidRDefault="007D6A23" w:rsidP="007D6A23">
      <w:pPr>
        <w:tabs>
          <w:tab w:val="left" w:pos="720"/>
        </w:tabs>
        <w:spacing w:after="60" w:line="216" w:lineRule="exact"/>
        <w:ind w:left="720" w:hanging="432"/>
        <w:jc w:val="both"/>
        <w:rPr>
          <w:rFonts w:ascii="Arial" w:eastAsia="Times New Roman" w:hAnsi="Arial" w:cs="Arial"/>
          <w:b/>
          <w:sz w:val="20"/>
          <w:szCs w:val="20"/>
          <w:lang w:eastAsia="es-ES"/>
        </w:rPr>
      </w:pPr>
      <w:r w:rsidRPr="007D6A23">
        <w:rPr>
          <w:rFonts w:ascii="Arial" w:eastAsia="Times New Roman" w:hAnsi="Arial" w:cs="Arial"/>
          <w:b/>
          <w:sz w:val="20"/>
          <w:szCs w:val="20"/>
          <w:lang w:eastAsia="es-ES"/>
        </w:rPr>
        <w:t>b)</w:t>
      </w:r>
      <w:r w:rsidRPr="007D6A23">
        <w:rPr>
          <w:rFonts w:ascii="Arial" w:eastAsia="Times New Roman" w:hAnsi="Arial" w:cs="Arial"/>
          <w:b/>
          <w:sz w:val="20"/>
          <w:szCs w:val="20"/>
          <w:lang w:eastAsia="es-ES"/>
        </w:rPr>
        <w:tab/>
        <w:t>No podrán enajenar, gravar, rentar ni donar los bienes muebles e inmuebles del Partido, ni otorgar en comodato los bienes inmuebles del Instituto Político.</w:t>
      </w:r>
    </w:p>
    <w:p w:rsidR="007D6A23" w:rsidRPr="007D6A23" w:rsidRDefault="007D6A23" w:rsidP="007D6A23">
      <w:pPr>
        <w:tabs>
          <w:tab w:val="left" w:pos="720"/>
        </w:tabs>
        <w:spacing w:after="74" w:line="216" w:lineRule="exact"/>
        <w:ind w:left="720" w:hanging="432"/>
        <w:jc w:val="both"/>
        <w:rPr>
          <w:rFonts w:ascii="Arial" w:eastAsia="Times New Roman" w:hAnsi="Arial" w:cs="Arial"/>
          <w:b/>
          <w:sz w:val="20"/>
          <w:szCs w:val="20"/>
          <w:lang w:eastAsia="es-ES"/>
        </w:rPr>
      </w:pPr>
      <w:r w:rsidRPr="007D6A23">
        <w:rPr>
          <w:rFonts w:ascii="Arial" w:eastAsia="Times New Roman" w:hAnsi="Arial" w:cs="Arial"/>
          <w:b/>
          <w:sz w:val="20"/>
          <w:szCs w:val="20"/>
          <w:lang w:eastAsia="es-ES"/>
        </w:rPr>
        <w:t>c)</w:t>
      </w:r>
      <w:r w:rsidRPr="007D6A23">
        <w:rPr>
          <w:rFonts w:ascii="Arial" w:eastAsia="Times New Roman" w:hAnsi="Arial" w:cs="Arial"/>
          <w:b/>
          <w:sz w:val="20"/>
          <w:szCs w:val="20"/>
          <w:lang w:eastAsia="es-ES"/>
        </w:rPr>
        <w:tab/>
        <w:t>No podrán contraer deudas a nombre del Instituto Político con personas físicas o morales, salvo en procesos electorales y sólo podrán hacerlo por un monto total no mayor a 100 salarios mínimos mensuales vigentes en el Distrito Federal, salvo autorización expresa y por escrito de la Comisión Coordinadora Nacional.</w:t>
      </w:r>
    </w:p>
    <w:p w:rsidR="007D6A23" w:rsidRPr="007D6A23" w:rsidRDefault="007D6A23" w:rsidP="007D6A23">
      <w:pPr>
        <w:tabs>
          <w:tab w:val="left" w:pos="720"/>
        </w:tabs>
        <w:spacing w:after="74" w:line="216" w:lineRule="exact"/>
        <w:ind w:left="720" w:hanging="432"/>
        <w:jc w:val="both"/>
        <w:rPr>
          <w:rFonts w:ascii="Arial" w:eastAsia="Times New Roman" w:hAnsi="Arial" w:cs="Arial"/>
          <w:b/>
          <w:sz w:val="20"/>
          <w:szCs w:val="20"/>
          <w:lang w:eastAsia="es-ES"/>
        </w:rPr>
      </w:pPr>
      <w:r w:rsidRPr="007D6A23">
        <w:rPr>
          <w:rFonts w:ascii="Arial" w:eastAsia="Times New Roman" w:hAnsi="Arial" w:cs="Arial"/>
          <w:b/>
          <w:sz w:val="20"/>
          <w:szCs w:val="20"/>
          <w:lang w:eastAsia="es-ES"/>
        </w:rPr>
        <w:t>d)</w:t>
      </w:r>
      <w:r w:rsidRPr="007D6A23">
        <w:rPr>
          <w:rFonts w:ascii="Arial" w:eastAsia="Times New Roman" w:hAnsi="Arial" w:cs="Arial"/>
          <w:b/>
          <w:sz w:val="20"/>
          <w:szCs w:val="20"/>
          <w:lang w:eastAsia="es-ES"/>
        </w:rPr>
        <w:tab/>
        <w:t>Los Órganos de Dirección del Partido del Trabajo Nacionales, Estatales, del Distrito Federal, Municipales y Delegacionales, no reconocerán como propios la validez de cualquier acto, contrato o convenio de carácter civil, mercantil, laboral o cualquier otro relativo a las finanzas, prerrogativas y patrimonio del Partido, que lleguen a celebrar en nombre y representación del mismo, y que no cuenten con autorización expresa y por escrito de la Comisión Coordinadora Nacional. En su caso, la responsabilidad de los compromisos adquiridos será exclusiva de quien los celebre.</w:t>
      </w:r>
    </w:p>
    <w:p w:rsidR="007D6A23" w:rsidRPr="007D6A23" w:rsidRDefault="007D6A23" w:rsidP="007D6A23">
      <w:pPr>
        <w:tabs>
          <w:tab w:val="left" w:pos="720"/>
        </w:tabs>
        <w:spacing w:after="74" w:line="216" w:lineRule="exact"/>
        <w:ind w:left="720" w:hanging="432"/>
        <w:jc w:val="both"/>
        <w:rPr>
          <w:rFonts w:ascii="Arial" w:eastAsia="Times New Roman" w:hAnsi="Arial" w:cs="Arial"/>
          <w:b/>
          <w:sz w:val="20"/>
          <w:szCs w:val="20"/>
          <w:lang w:eastAsia="es-ES"/>
        </w:rPr>
      </w:pPr>
      <w:r w:rsidRPr="007D6A23">
        <w:rPr>
          <w:rFonts w:ascii="Arial" w:eastAsia="Times New Roman" w:hAnsi="Arial" w:cs="Arial"/>
          <w:b/>
          <w:sz w:val="20"/>
          <w:szCs w:val="20"/>
          <w:lang w:eastAsia="es-ES"/>
        </w:rPr>
        <w:t>e)</w:t>
      </w:r>
      <w:r w:rsidRPr="007D6A23">
        <w:rPr>
          <w:rFonts w:ascii="Arial" w:eastAsia="Times New Roman" w:hAnsi="Arial" w:cs="Arial"/>
          <w:b/>
          <w:sz w:val="20"/>
          <w:szCs w:val="20"/>
          <w:lang w:eastAsia="es-ES"/>
        </w:rPr>
        <w:tab/>
        <w:t>No podrán contratar a nombre del Partido del Trabajo personal para el desarrollo de las actividades ordinarias, específicas o de cualquier otra índole, salvo en la etapa de campañas y precampañas sólo por el término o periodo de las mismas, la modalidad de la contratación será temporal.</w:t>
      </w:r>
    </w:p>
    <w:p w:rsidR="007D6A23" w:rsidRPr="007D6A23" w:rsidRDefault="007D6A23" w:rsidP="007D6A23">
      <w:pPr>
        <w:spacing w:after="74" w:line="216" w:lineRule="exact"/>
        <w:ind w:firstLine="288"/>
        <w:jc w:val="both"/>
        <w:rPr>
          <w:rFonts w:ascii="Arial" w:eastAsia="Times New Roman" w:hAnsi="Arial" w:cs="Arial"/>
          <w:b/>
          <w:sz w:val="20"/>
          <w:szCs w:val="20"/>
          <w:lang w:eastAsia="es-ES"/>
        </w:rPr>
      </w:pPr>
      <w:r w:rsidRPr="007D6A23">
        <w:rPr>
          <w:rFonts w:ascii="Arial" w:eastAsia="Times New Roman" w:hAnsi="Arial" w:cs="Arial"/>
          <w:b/>
          <w:sz w:val="20"/>
          <w:szCs w:val="20"/>
          <w:lang w:eastAsia="es-ES"/>
        </w:rPr>
        <w:t>Las anteriores limitaciones no son aplicables al Congreso Nacional, al Consejo Político Nacional, a la Comisión Ejecutiva Nacional y a la Comisión Coordinadora Nacional.</w:t>
      </w:r>
    </w:p>
    <w:p w:rsidR="007D6A23" w:rsidRPr="007D6A23" w:rsidRDefault="007D6A23" w:rsidP="007D6A23">
      <w:pPr>
        <w:spacing w:after="0" w:line="240" w:lineRule="auto"/>
        <w:ind w:left="284"/>
        <w:rPr>
          <w:rFonts w:ascii="Arial" w:eastAsia="Times New Roman" w:hAnsi="Arial" w:cs="Arial"/>
          <w:sz w:val="20"/>
          <w:szCs w:val="20"/>
          <w:lang w:eastAsia="es-ES"/>
        </w:rPr>
      </w:pPr>
      <w:r w:rsidRPr="007D6A23">
        <w:rPr>
          <w:rFonts w:ascii="Arial" w:eastAsia="Times New Roman" w:hAnsi="Arial" w:cs="Arial"/>
          <w:b/>
          <w:sz w:val="20"/>
          <w:szCs w:val="20"/>
          <w:lang w:eastAsia="es-ES"/>
        </w:rPr>
        <w:t>La única instancia facultada para celebrar cualquier tipo de contratos o convenios de carácter laboral a nombre del Partido del Trabajo, es la Comisión Coordinadora Nacional.</w:t>
      </w:r>
    </w:p>
    <w:p w:rsidR="00B1784E" w:rsidRDefault="00B1784E">
      <w:bookmarkStart w:id="0" w:name="_GoBack"/>
      <w:bookmarkEnd w:id="0"/>
    </w:p>
    <w:sectPr w:rsidR="00B1784E" w:rsidSect="00DE309D">
      <w:headerReference w:type="default" r:id="rId4"/>
      <w:footerReference w:type="default" r:id="rId5"/>
      <w:pgSz w:w="12240" w:h="15840"/>
      <w:pgMar w:top="1417" w:right="1701" w:bottom="1417" w:left="1701"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07535"/>
      <w:docPartObj>
        <w:docPartGallery w:val="Page Numbers (Bottom of Page)"/>
        <w:docPartUnique/>
      </w:docPartObj>
    </w:sdtPr>
    <w:sdtEndPr>
      <w:rPr>
        <w:rFonts w:ascii="Arial" w:hAnsi="Arial" w:cs="Arial"/>
      </w:rPr>
    </w:sdtEndPr>
    <w:sdtContent>
      <w:p w:rsidR="00DE309D" w:rsidRPr="00DE309D" w:rsidRDefault="007D6A23">
        <w:pPr>
          <w:pStyle w:val="Piedepgina"/>
          <w:jc w:val="right"/>
          <w:rPr>
            <w:rFonts w:ascii="Arial" w:hAnsi="Arial" w:cs="Arial"/>
          </w:rPr>
        </w:pPr>
        <w:r w:rsidRPr="00DE309D">
          <w:rPr>
            <w:rFonts w:ascii="Arial" w:hAnsi="Arial" w:cs="Arial"/>
          </w:rPr>
          <w:fldChar w:fldCharType="begin"/>
        </w:r>
        <w:r w:rsidRPr="00DE309D">
          <w:rPr>
            <w:rFonts w:ascii="Arial" w:hAnsi="Arial" w:cs="Arial"/>
          </w:rPr>
          <w:instrText>PAGE   \* MERGEFORMAT</w:instrText>
        </w:r>
        <w:r w:rsidRPr="00DE309D">
          <w:rPr>
            <w:rFonts w:ascii="Arial" w:hAnsi="Arial" w:cs="Arial"/>
          </w:rPr>
          <w:fldChar w:fldCharType="separate"/>
        </w:r>
        <w:r w:rsidRPr="007D6A23">
          <w:rPr>
            <w:rFonts w:ascii="Arial" w:hAnsi="Arial" w:cs="Arial"/>
            <w:noProof/>
            <w:lang w:val="es-ES"/>
          </w:rPr>
          <w:t>1</w:t>
        </w:r>
        <w:r w:rsidRPr="00DE309D">
          <w:rPr>
            <w:rFonts w:ascii="Arial" w:hAnsi="Arial" w:cs="Arial"/>
          </w:rPr>
          <w:fldChar w:fldCharType="end"/>
        </w:r>
      </w:p>
    </w:sdtContent>
  </w:sdt>
  <w:p w:rsidR="00DE309D" w:rsidRDefault="007D6A23">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173" w:type="dxa"/>
      <w:tblInd w:w="-56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DE309D" w:rsidTr="00014674">
      <w:tc>
        <w:tcPr>
          <w:tcW w:w="2518" w:type="dxa"/>
          <w:vMerge w:val="restart"/>
        </w:tcPr>
        <w:p w:rsidR="00DE309D" w:rsidRDefault="007D6A23" w:rsidP="00DE309D">
          <w:pPr>
            <w:pStyle w:val="Encabezado"/>
            <w:tabs>
              <w:tab w:val="right" w:pos="9356"/>
            </w:tabs>
            <w:ind w:right="-851"/>
            <w:rPr>
              <w:rFonts w:ascii="Arial Black" w:hAnsi="Arial Black"/>
              <w:sz w:val="56"/>
              <w:szCs w:val="56"/>
            </w:rPr>
          </w:pPr>
          <w:r w:rsidRPr="000A348F">
            <w:rPr>
              <w:rFonts w:ascii="Arial Black" w:hAnsi="Arial Black"/>
              <w:noProof/>
              <w:sz w:val="56"/>
              <w:szCs w:val="56"/>
              <w:lang w:eastAsia="es-MX"/>
            </w:rPr>
            <w:drawing>
              <wp:inline distT="0" distB="0" distL="0" distR="0" wp14:anchorId="2F1B95DC" wp14:editId="5050E56C">
                <wp:extent cx="1316990" cy="1099185"/>
                <wp:effectExtent l="0" t="0" r="0" b="5715"/>
                <wp:docPr id="1" name="Imagen 1" descr="P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099185"/>
                        </a:xfrm>
                        <a:prstGeom prst="rect">
                          <a:avLst/>
                        </a:prstGeom>
                        <a:noFill/>
                        <a:ln>
                          <a:noFill/>
                        </a:ln>
                      </pic:spPr>
                    </pic:pic>
                  </a:graphicData>
                </a:graphic>
              </wp:inline>
            </w:drawing>
          </w:r>
        </w:p>
      </w:tc>
      <w:tc>
        <w:tcPr>
          <w:tcW w:w="7655" w:type="dxa"/>
        </w:tcPr>
        <w:p w:rsidR="00DE309D" w:rsidRDefault="007D6A23" w:rsidP="00DE309D">
          <w:pPr>
            <w:pStyle w:val="Encabezado"/>
            <w:tabs>
              <w:tab w:val="right" w:pos="9356"/>
            </w:tabs>
            <w:ind w:right="-851"/>
            <w:rPr>
              <w:rFonts w:ascii="Arial Black" w:hAnsi="Arial Black"/>
              <w:sz w:val="56"/>
              <w:szCs w:val="56"/>
            </w:rPr>
          </w:pPr>
          <w:r>
            <w:rPr>
              <w:rFonts w:ascii="Arial Black" w:hAnsi="Arial Black"/>
              <w:sz w:val="56"/>
              <w:szCs w:val="56"/>
            </w:rPr>
            <w:t xml:space="preserve">PARTIDO </w:t>
          </w:r>
          <w:r w:rsidRPr="005C1AE2">
            <w:rPr>
              <w:rFonts w:ascii="Arial Black" w:hAnsi="Arial Black"/>
              <w:sz w:val="56"/>
              <w:szCs w:val="56"/>
            </w:rPr>
            <w:t>DEL TRABAJO</w:t>
          </w:r>
        </w:p>
      </w:tc>
    </w:tr>
    <w:tr w:rsidR="00DE309D" w:rsidTr="00014674">
      <w:trPr>
        <w:trHeight w:val="596"/>
      </w:trPr>
      <w:tc>
        <w:tcPr>
          <w:tcW w:w="2518" w:type="dxa"/>
          <w:vMerge/>
        </w:tcPr>
        <w:p w:rsidR="00DE309D" w:rsidRDefault="007D6A23" w:rsidP="00DE309D">
          <w:pPr>
            <w:pStyle w:val="Encabezado"/>
            <w:tabs>
              <w:tab w:val="right" w:pos="9356"/>
            </w:tabs>
            <w:ind w:right="-851"/>
            <w:jc w:val="center"/>
            <w:rPr>
              <w:rFonts w:ascii="Arial Black" w:hAnsi="Arial Black"/>
              <w:sz w:val="56"/>
              <w:szCs w:val="56"/>
            </w:rPr>
          </w:pPr>
        </w:p>
      </w:tc>
      <w:tc>
        <w:tcPr>
          <w:tcW w:w="7655" w:type="dxa"/>
        </w:tcPr>
        <w:p w:rsidR="00DE309D" w:rsidRPr="000A5011" w:rsidRDefault="007D6A23" w:rsidP="00DE309D">
          <w:pPr>
            <w:pStyle w:val="Encabezado"/>
            <w:tabs>
              <w:tab w:val="right" w:pos="9356"/>
            </w:tabs>
            <w:ind w:right="-851"/>
            <w:jc w:val="center"/>
            <w:rPr>
              <w:rFonts w:ascii="Arial" w:hAnsi="Arial" w:cs="Arial"/>
              <w:sz w:val="56"/>
              <w:szCs w:val="56"/>
            </w:rPr>
          </w:pPr>
          <w:r w:rsidRPr="000A5011">
            <w:rPr>
              <w:rFonts w:ascii="Arial" w:hAnsi="Arial" w:cs="Arial"/>
              <w:b/>
              <w:sz w:val="28"/>
              <w:szCs w:val="28"/>
            </w:rPr>
            <w:t>UNIDAD NACIONAL</w:t>
          </w:r>
        </w:p>
      </w:tc>
    </w:tr>
    <w:tr w:rsidR="00DE309D" w:rsidRPr="00740E55" w:rsidTr="00014674">
      <w:tc>
        <w:tcPr>
          <w:tcW w:w="2518" w:type="dxa"/>
          <w:vMerge/>
        </w:tcPr>
        <w:p w:rsidR="00DE309D" w:rsidRDefault="007D6A23" w:rsidP="00DE309D">
          <w:pPr>
            <w:pStyle w:val="Encabezado"/>
            <w:tabs>
              <w:tab w:val="right" w:pos="9356"/>
            </w:tabs>
            <w:ind w:right="-851"/>
            <w:jc w:val="center"/>
            <w:rPr>
              <w:rFonts w:ascii="Arial Black" w:hAnsi="Arial Black"/>
              <w:sz w:val="56"/>
              <w:szCs w:val="56"/>
            </w:rPr>
          </w:pPr>
        </w:p>
      </w:tc>
      <w:tc>
        <w:tcPr>
          <w:tcW w:w="7655" w:type="dxa"/>
        </w:tcPr>
        <w:p w:rsidR="00DE309D" w:rsidRDefault="007D6A23" w:rsidP="00DE309D">
          <w:pPr>
            <w:pStyle w:val="Encabezado"/>
            <w:tabs>
              <w:tab w:val="right" w:pos="9356"/>
            </w:tabs>
            <w:ind w:right="-851"/>
            <w:jc w:val="center"/>
            <w:rPr>
              <w:rFonts w:ascii="Arial Black" w:hAnsi="Arial Black"/>
              <w:sz w:val="32"/>
              <w:szCs w:val="32"/>
            </w:rPr>
          </w:pPr>
          <w:r w:rsidRPr="0017786B">
            <w:rPr>
              <w:rFonts w:ascii="Arial Black" w:hAnsi="Arial Black"/>
              <w:sz w:val="32"/>
              <w:szCs w:val="32"/>
            </w:rPr>
            <w:t>¡TODO EL PODER AL PUEBLO!</w:t>
          </w:r>
        </w:p>
        <w:p w:rsidR="00DE309D" w:rsidRPr="00D13B93" w:rsidRDefault="007D6A23"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ESTATUTOS</w:t>
          </w:r>
          <w:r w:rsidRPr="00D13B93">
            <w:rPr>
              <w:rFonts w:ascii="Arial Black" w:eastAsia="Calibri" w:hAnsi="Arial Black" w:cs="Arial"/>
            </w:rPr>
            <w:t xml:space="preserve"> PT EXPEDID</w:t>
          </w:r>
          <w:r>
            <w:rPr>
              <w:rFonts w:ascii="Arial Black" w:eastAsia="Calibri" w:hAnsi="Arial Black" w:cs="Arial"/>
            </w:rPr>
            <w:t>OS</w:t>
          </w:r>
          <w:r w:rsidRPr="00D13B93">
            <w:rPr>
              <w:rFonts w:ascii="Arial Black" w:eastAsia="Calibri" w:hAnsi="Arial Black" w:cs="Arial"/>
            </w:rPr>
            <w:t xml:space="preserve"> POR EL </w:t>
          </w:r>
        </w:p>
        <w:p w:rsidR="00DE309D" w:rsidRPr="00D13B93" w:rsidRDefault="007D6A23"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9</w:t>
          </w:r>
          <w:r w:rsidRPr="00D13B93">
            <w:rPr>
              <w:rFonts w:ascii="Arial Black" w:eastAsia="Calibri" w:hAnsi="Arial Black" w:cs="Arial"/>
            </w:rPr>
            <w:t xml:space="preserve">° CONGRESO NACIONAL ORDINARIO </w:t>
          </w:r>
        </w:p>
        <w:p w:rsidR="00DE309D" w:rsidRDefault="007D6A23"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05septiembre</w:t>
          </w:r>
          <w:r w:rsidRPr="00D13B93">
            <w:rPr>
              <w:rFonts w:ascii="Arial Black" w:eastAsia="Calibri" w:hAnsi="Arial Black" w:cs="Arial"/>
            </w:rPr>
            <w:t>201</w:t>
          </w:r>
          <w:r>
            <w:rPr>
              <w:rFonts w:ascii="Arial Black" w:eastAsia="Calibri" w:hAnsi="Arial Black" w:cs="Arial"/>
            </w:rPr>
            <w:t>4</w:t>
          </w:r>
        </w:p>
        <w:p w:rsidR="00DE309D" w:rsidRPr="00740E55" w:rsidRDefault="007D6A23" w:rsidP="00DE309D">
          <w:pPr>
            <w:pStyle w:val="Encabezado"/>
            <w:tabs>
              <w:tab w:val="right" w:pos="9356"/>
            </w:tabs>
            <w:ind w:right="-851"/>
            <w:jc w:val="center"/>
            <w:rPr>
              <w:rFonts w:ascii="Arial Black" w:hAnsi="Arial Black"/>
            </w:rPr>
          </w:pPr>
          <w:r>
            <w:rPr>
              <w:rFonts w:ascii="Arial Black" w:eastAsia="Calibri" w:hAnsi="Arial Black" w:cs="Arial"/>
            </w:rPr>
            <w:t>publicados en el DOF 27noviembre2014</w:t>
          </w:r>
        </w:p>
      </w:tc>
    </w:tr>
  </w:tbl>
  <w:p w:rsidR="00DE309D" w:rsidRDefault="007D6A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23"/>
    <w:rsid w:val="0001236F"/>
    <w:rsid w:val="00014C40"/>
    <w:rsid w:val="00024D79"/>
    <w:rsid w:val="00042A6C"/>
    <w:rsid w:val="000451EF"/>
    <w:rsid w:val="0004533F"/>
    <w:rsid w:val="000521ED"/>
    <w:rsid w:val="000574FD"/>
    <w:rsid w:val="00060B60"/>
    <w:rsid w:val="0007352A"/>
    <w:rsid w:val="00080590"/>
    <w:rsid w:val="000818F2"/>
    <w:rsid w:val="000846F8"/>
    <w:rsid w:val="000866E5"/>
    <w:rsid w:val="00087FFC"/>
    <w:rsid w:val="0009577E"/>
    <w:rsid w:val="000A1C52"/>
    <w:rsid w:val="000B3CFD"/>
    <w:rsid w:val="000B4650"/>
    <w:rsid w:val="000C3B21"/>
    <w:rsid w:val="000C60CE"/>
    <w:rsid w:val="000D2F79"/>
    <w:rsid w:val="000E3E62"/>
    <w:rsid w:val="000F6443"/>
    <w:rsid w:val="001041FF"/>
    <w:rsid w:val="00121884"/>
    <w:rsid w:val="00122F7F"/>
    <w:rsid w:val="0013099D"/>
    <w:rsid w:val="00132196"/>
    <w:rsid w:val="0013325A"/>
    <w:rsid w:val="001602AC"/>
    <w:rsid w:val="001609E4"/>
    <w:rsid w:val="001642CC"/>
    <w:rsid w:val="0016484E"/>
    <w:rsid w:val="00171CEC"/>
    <w:rsid w:val="001734B9"/>
    <w:rsid w:val="00180D5C"/>
    <w:rsid w:val="001860C8"/>
    <w:rsid w:val="00194F02"/>
    <w:rsid w:val="00196A84"/>
    <w:rsid w:val="001B0CB2"/>
    <w:rsid w:val="001B62FC"/>
    <w:rsid w:val="001B65A4"/>
    <w:rsid w:val="001C3D41"/>
    <w:rsid w:val="001D1857"/>
    <w:rsid w:val="001D1A10"/>
    <w:rsid w:val="001D376B"/>
    <w:rsid w:val="001D511F"/>
    <w:rsid w:val="001E20AA"/>
    <w:rsid w:val="001E6562"/>
    <w:rsid w:val="00205875"/>
    <w:rsid w:val="00221419"/>
    <w:rsid w:val="0022489C"/>
    <w:rsid w:val="0023132C"/>
    <w:rsid w:val="00250CE7"/>
    <w:rsid w:val="00253AAD"/>
    <w:rsid w:val="00267BC6"/>
    <w:rsid w:val="00274C21"/>
    <w:rsid w:val="00286960"/>
    <w:rsid w:val="002905A3"/>
    <w:rsid w:val="00290752"/>
    <w:rsid w:val="00290FB9"/>
    <w:rsid w:val="00294930"/>
    <w:rsid w:val="00295265"/>
    <w:rsid w:val="002A009F"/>
    <w:rsid w:val="002A7B75"/>
    <w:rsid w:val="002B17D6"/>
    <w:rsid w:val="002B6F58"/>
    <w:rsid w:val="002C0A62"/>
    <w:rsid w:val="002D11D5"/>
    <w:rsid w:val="002D6D80"/>
    <w:rsid w:val="002E1850"/>
    <w:rsid w:val="002E1E73"/>
    <w:rsid w:val="002E584B"/>
    <w:rsid w:val="002F515A"/>
    <w:rsid w:val="00306E8A"/>
    <w:rsid w:val="0033414C"/>
    <w:rsid w:val="0033542C"/>
    <w:rsid w:val="0034448C"/>
    <w:rsid w:val="00346492"/>
    <w:rsid w:val="00350182"/>
    <w:rsid w:val="00360C4D"/>
    <w:rsid w:val="00362ED2"/>
    <w:rsid w:val="00372529"/>
    <w:rsid w:val="003747BF"/>
    <w:rsid w:val="00377B88"/>
    <w:rsid w:val="00384E7E"/>
    <w:rsid w:val="00392F8D"/>
    <w:rsid w:val="003A60A9"/>
    <w:rsid w:val="003B085A"/>
    <w:rsid w:val="003B2CBC"/>
    <w:rsid w:val="003C20A2"/>
    <w:rsid w:val="003C5C62"/>
    <w:rsid w:val="003C64DF"/>
    <w:rsid w:val="003D5D94"/>
    <w:rsid w:val="003E40A6"/>
    <w:rsid w:val="003E5505"/>
    <w:rsid w:val="003F39F8"/>
    <w:rsid w:val="004029C3"/>
    <w:rsid w:val="0041556D"/>
    <w:rsid w:val="00416BEC"/>
    <w:rsid w:val="00423B8C"/>
    <w:rsid w:val="00435CB7"/>
    <w:rsid w:val="0043742B"/>
    <w:rsid w:val="0044761A"/>
    <w:rsid w:val="0046100B"/>
    <w:rsid w:val="00481B53"/>
    <w:rsid w:val="0049228A"/>
    <w:rsid w:val="00494A8C"/>
    <w:rsid w:val="004A371D"/>
    <w:rsid w:val="004B4EEB"/>
    <w:rsid w:val="004C7A00"/>
    <w:rsid w:val="004D09C6"/>
    <w:rsid w:val="004D175E"/>
    <w:rsid w:val="004D48BA"/>
    <w:rsid w:val="004D75F6"/>
    <w:rsid w:val="004E4238"/>
    <w:rsid w:val="004E716C"/>
    <w:rsid w:val="004F4C2E"/>
    <w:rsid w:val="004F775C"/>
    <w:rsid w:val="005113A5"/>
    <w:rsid w:val="00511A71"/>
    <w:rsid w:val="00511F31"/>
    <w:rsid w:val="00520875"/>
    <w:rsid w:val="00554B87"/>
    <w:rsid w:val="00556628"/>
    <w:rsid w:val="00586FEF"/>
    <w:rsid w:val="00590A15"/>
    <w:rsid w:val="00591AD2"/>
    <w:rsid w:val="005A4933"/>
    <w:rsid w:val="005A4E1B"/>
    <w:rsid w:val="005C45E2"/>
    <w:rsid w:val="005C5FC3"/>
    <w:rsid w:val="005E3AF5"/>
    <w:rsid w:val="005E7D7D"/>
    <w:rsid w:val="00603505"/>
    <w:rsid w:val="006100A6"/>
    <w:rsid w:val="00630B1C"/>
    <w:rsid w:val="0063318E"/>
    <w:rsid w:val="00637EC4"/>
    <w:rsid w:val="00641795"/>
    <w:rsid w:val="00646C1F"/>
    <w:rsid w:val="006539EC"/>
    <w:rsid w:val="006545E9"/>
    <w:rsid w:val="00660516"/>
    <w:rsid w:val="00662DF9"/>
    <w:rsid w:val="00663B1C"/>
    <w:rsid w:val="00665E65"/>
    <w:rsid w:val="00667273"/>
    <w:rsid w:val="00676B09"/>
    <w:rsid w:val="00693E68"/>
    <w:rsid w:val="0069421E"/>
    <w:rsid w:val="00694EC2"/>
    <w:rsid w:val="006963D8"/>
    <w:rsid w:val="006A4402"/>
    <w:rsid w:val="006A4B5E"/>
    <w:rsid w:val="006B1A68"/>
    <w:rsid w:val="006D7AA7"/>
    <w:rsid w:val="006E45FB"/>
    <w:rsid w:val="006F6EFE"/>
    <w:rsid w:val="00701AA7"/>
    <w:rsid w:val="00703569"/>
    <w:rsid w:val="00703BE9"/>
    <w:rsid w:val="00705024"/>
    <w:rsid w:val="00705449"/>
    <w:rsid w:val="00712A28"/>
    <w:rsid w:val="00726EDC"/>
    <w:rsid w:val="00733F2B"/>
    <w:rsid w:val="007443F8"/>
    <w:rsid w:val="00745343"/>
    <w:rsid w:val="00746FA1"/>
    <w:rsid w:val="0075245F"/>
    <w:rsid w:val="00752B30"/>
    <w:rsid w:val="00753062"/>
    <w:rsid w:val="00760704"/>
    <w:rsid w:val="007A6C2B"/>
    <w:rsid w:val="007A7474"/>
    <w:rsid w:val="007B15DC"/>
    <w:rsid w:val="007C1337"/>
    <w:rsid w:val="007C412F"/>
    <w:rsid w:val="007C53AC"/>
    <w:rsid w:val="007D5505"/>
    <w:rsid w:val="007D6A23"/>
    <w:rsid w:val="007E568C"/>
    <w:rsid w:val="007E6D7F"/>
    <w:rsid w:val="00801DF6"/>
    <w:rsid w:val="00813B22"/>
    <w:rsid w:val="008266B0"/>
    <w:rsid w:val="0084280A"/>
    <w:rsid w:val="00845BC4"/>
    <w:rsid w:val="008504E9"/>
    <w:rsid w:val="00851249"/>
    <w:rsid w:val="0085737D"/>
    <w:rsid w:val="00857754"/>
    <w:rsid w:val="00866692"/>
    <w:rsid w:val="00882BE1"/>
    <w:rsid w:val="0088336F"/>
    <w:rsid w:val="00883D50"/>
    <w:rsid w:val="00893D9E"/>
    <w:rsid w:val="00896FED"/>
    <w:rsid w:val="008C0D82"/>
    <w:rsid w:val="008C1366"/>
    <w:rsid w:val="00902CD1"/>
    <w:rsid w:val="00912588"/>
    <w:rsid w:val="00912600"/>
    <w:rsid w:val="009137D2"/>
    <w:rsid w:val="00931A67"/>
    <w:rsid w:val="009348A0"/>
    <w:rsid w:val="009408AD"/>
    <w:rsid w:val="0094332C"/>
    <w:rsid w:val="00944633"/>
    <w:rsid w:val="00950EA8"/>
    <w:rsid w:val="00961C75"/>
    <w:rsid w:val="00975F34"/>
    <w:rsid w:val="009767F5"/>
    <w:rsid w:val="00981128"/>
    <w:rsid w:val="009875E2"/>
    <w:rsid w:val="00993149"/>
    <w:rsid w:val="009A7365"/>
    <w:rsid w:val="009B6F47"/>
    <w:rsid w:val="009B7BB4"/>
    <w:rsid w:val="009C4372"/>
    <w:rsid w:val="00A1044E"/>
    <w:rsid w:val="00A12E90"/>
    <w:rsid w:val="00A1332E"/>
    <w:rsid w:val="00A2038F"/>
    <w:rsid w:val="00A322E8"/>
    <w:rsid w:val="00A41A43"/>
    <w:rsid w:val="00A45464"/>
    <w:rsid w:val="00A524AF"/>
    <w:rsid w:val="00A62D30"/>
    <w:rsid w:val="00A6671A"/>
    <w:rsid w:val="00A74C0A"/>
    <w:rsid w:val="00A82660"/>
    <w:rsid w:val="00A830C8"/>
    <w:rsid w:val="00A85320"/>
    <w:rsid w:val="00AB1019"/>
    <w:rsid w:val="00AC6BDD"/>
    <w:rsid w:val="00AD7252"/>
    <w:rsid w:val="00AE717A"/>
    <w:rsid w:val="00AF4D90"/>
    <w:rsid w:val="00B10700"/>
    <w:rsid w:val="00B14930"/>
    <w:rsid w:val="00B1784E"/>
    <w:rsid w:val="00B2373F"/>
    <w:rsid w:val="00B23F50"/>
    <w:rsid w:val="00B276D4"/>
    <w:rsid w:val="00B30BCD"/>
    <w:rsid w:val="00B31EB2"/>
    <w:rsid w:val="00B33287"/>
    <w:rsid w:val="00B35D79"/>
    <w:rsid w:val="00B433BD"/>
    <w:rsid w:val="00B45C4C"/>
    <w:rsid w:val="00B51220"/>
    <w:rsid w:val="00B63E5C"/>
    <w:rsid w:val="00B7192A"/>
    <w:rsid w:val="00B74364"/>
    <w:rsid w:val="00B80A33"/>
    <w:rsid w:val="00B853BC"/>
    <w:rsid w:val="00BA23C7"/>
    <w:rsid w:val="00BA4F9B"/>
    <w:rsid w:val="00BA550C"/>
    <w:rsid w:val="00BB1FB6"/>
    <w:rsid w:val="00BB3CF0"/>
    <w:rsid w:val="00BC43EB"/>
    <w:rsid w:val="00BF710C"/>
    <w:rsid w:val="00C06E55"/>
    <w:rsid w:val="00C25EBA"/>
    <w:rsid w:val="00C34506"/>
    <w:rsid w:val="00C3646B"/>
    <w:rsid w:val="00C4242F"/>
    <w:rsid w:val="00C42F51"/>
    <w:rsid w:val="00C44423"/>
    <w:rsid w:val="00C62EDF"/>
    <w:rsid w:val="00C70906"/>
    <w:rsid w:val="00C76649"/>
    <w:rsid w:val="00C82E2C"/>
    <w:rsid w:val="00C9605E"/>
    <w:rsid w:val="00CA2486"/>
    <w:rsid w:val="00CA6CFE"/>
    <w:rsid w:val="00CB1735"/>
    <w:rsid w:val="00CB5209"/>
    <w:rsid w:val="00CB664C"/>
    <w:rsid w:val="00CC6A2E"/>
    <w:rsid w:val="00CD5BAF"/>
    <w:rsid w:val="00CE4B6A"/>
    <w:rsid w:val="00CE5E3D"/>
    <w:rsid w:val="00CF230C"/>
    <w:rsid w:val="00CF488D"/>
    <w:rsid w:val="00CF78DF"/>
    <w:rsid w:val="00CF7C1C"/>
    <w:rsid w:val="00D00B55"/>
    <w:rsid w:val="00D02AAF"/>
    <w:rsid w:val="00D2246E"/>
    <w:rsid w:val="00D31145"/>
    <w:rsid w:val="00D4291A"/>
    <w:rsid w:val="00D52642"/>
    <w:rsid w:val="00D54290"/>
    <w:rsid w:val="00D602A5"/>
    <w:rsid w:val="00D61A82"/>
    <w:rsid w:val="00D72217"/>
    <w:rsid w:val="00D85D99"/>
    <w:rsid w:val="00D91F13"/>
    <w:rsid w:val="00D93E9D"/>
    <w:rsid w:val="00D94BF7"/>
    <w:rsid w:val="00D952B3"/>
    <w:rsid w:val="00DA7A41"/>
    <w:rsid w:val="00DB1616"/>
    <w:rsid w:val="00DC0124"/>
    <w:rsid w:val="00DC084E"/>
    <w:rsid w:val="00DD1C9A"/>
    <w:rsid w:val="00DD415A"/>
    <w:rsid w:val="00E03981"/>
    <w:rsid w:val="00E06081"/>
    <w:rsid w:val="00E07D5A"/>
    <w:rsid w:val="00E33CF4"/>
    <w:rsid w:val="00E35C85"/>
    <w:rsid w:val="00E40A4C"/>
    <w:rsid w:val="00E46666"/>
    <w:rsid w:val="00E56182"/>
    <w:rsid w:val="00E61830"/>
    <w:rsid w:val="00E645E0"/>
    <w:rsid w:val="00E97266"/>
    <w:rsid w:val="00EA1141"/>
    <w:rsid w:val="00EA1719"/>
    <w:rsid w:val="00EA3B24"/>
    <w:rsid w:val="00EA5858"/>
    <w:rsid w:val="00EA5A60"/>
    <w:rsid w:val="00EB2C3E"/>
    <w:rsid w:val="00EB32CC"/>
    <w:rsid w:val="00EB3E79"/>
    <w:rsid w:val="00EC7535"/>
    <w:rsid w:val="00ED0627"/>
    <w:rsid w:val="00EE0034"/>
    <w:rsid w:val="00EE646E"/>
    <w:rsid w:val="00EF3FD4"/>
    <w:rsid w:val="00EF4810"/>
    <w:rsid w:val="00F03365"/>
    <w:rsid w:val="00F22FBA"/>
    <w:rsid w:val="00F3749C"/>
    <w:rsid w:val="00F47B79"/>
    <w:rsid w:val="00F562FE"/>
    <w:rsid w:val="00F56FAD"/>
    <w:rsid w:val="00F60287"/>
    <w:rsid w:val="00F635E4"/>
    <w:rsid w:val="00F63F4D"/>
    <w:rsid w:val="00F74503"/>
    <w:rsid w:val="00F81395"/>
    <w:rsid w:val="00F81F2B"/>
    <w:rsid w:val="00F83F1C"/>
    <w:rsid w:val="00F905BF"/>
    <w:rsid w:val="00F94C58"/>
    <w:rsid w:val="00FA532C"/>
    <w:rsid w:val="00FB2F30"/>
    <w:rsid w:val="00FB3272"/>
    <w:rsid w:val="00FB6089"/>
    <w:rsid w:val="00FE1C6C"/>
    <w:rsid w:val="00FF1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150"/>
  <w15:chartTrackingRefBased/>
  <w15:docId w15:val="{3EB90B9C-202A-4750-9E8D-049F756C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D6A23"/>
    <w:pPr>
      <w:tabs>
        <w:tab w:val="center" w:pos="4419"/>
        <w:tab w:val="right" w:pos="8838"/>
      </w:tabs>
      <w:spacing w:after="0" w:line="240" w:lineRule="auto"/>
    </w:pPr>
    <w:rPr>
      <w:rFonts w:ascii="Times New Roman" w:eastAsia="Times New Roman" w:hAnsi="Times New Roman" w:cs="Times New Roman"/>
      <w:lang w:eastAsia="es-ES"/>
    </w:rPr>
  </w:style>
  <w:style w:type="character" w:customStyle="1" w:styleId="EncabezadoCar">
    <w:name w:val="Encabezado Car"/>
    <w:basedOn w:val="Fuentedeprrafopredeter"/>
    <w:link w:val="Encabezado"/>
    <w:rsid w:val="007D6A23"/>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7D6A23"/>
    <w:pPr>
      <w:tabs>
        <w:tab w:val="center" w:pos="4419"/>
        <w:tab w:val="right" w:pos="8838"/>
      </w:tabs>
      <w:spacing w:after="0" w:line="240" w:lineRule="auto"/>
    </w:pPr>
    <w:rPr>
      <w:rFonts w:ascii="Times New Roman" w:eastAsia="Times New Roman" w:hAnsi="Times New Roman" w:cs="Times New Roman"/>
      <w:lang w:eastAsia="es-ES"/>
    </w:rPr>
  </w:style>
  <w:style w:type="character" w:customStyle="1" w:styleId="PiedepginaCar">
    <w:name w:val="Pie de página Car"/>
    <w:basedOn w:val="Fuentedeprrafopredeter"/>
    <w:link w:val="Piedepgina"/>
    <w:uiPriority w:val="99"/>
    <w:rsid w:val="007D6A23"/>
    <w:rPr>
      <w:rFonts w:ascii="Times New Roman" w:eastAsia="Times New Roman" w:hAnsi="Times New Roman" w:cs="Times New Roman"/>
      <w:lang w:eastAsia="es-ES"/>
    </w:rPr>
  </w:style>
  <w:style w:type="table" w:styleId="Tablaconcuadrcula">
    <w:name w:val="Table Grid"/>
    <w:basedOn w:val="Tablanormal"/>
    <w:uiPriority w:val="59"/>
    <w:rsid w:val="007D6A23"/>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4943</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Cristina Ruíz Mendoza</dc:creator>
  <cp:keywords/>
  <dc:description/>
  <cp:lastModifiedBy>Gloria Cristina Ruíz Mendoza</cp:lastModifiedBy>
  <cp:revision>1</cp:revision>
  <dcterms:created xsi:type="dcterms:W3CDTF">2016-10-03T20:10:00Z</dcterms:created>
  <dcterms:modified xsi:type="dcterms:W3CDTF">2016-10-03T20:11:00Z</dcterms:modified>
</cp:coreProperties>
</file>